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1B" w:rsidRPr="001E2F1B" w:rsidRDefault="005B31BE" w:rsidP="001E2F1B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COLUMBIA RIVER ESTUARY RM&amp;E</w:t>
      </w:r>
      <w:r w:rsidR="007C6093" w:rsidRPr="001E2F1B">
        <w:rPr>
          <w:rFonts w:ascii="Arial" w:hAnsi="Arial" w:cs="Arial"/>
          <w:b/>
          <w:sz w:val="28"/>
          <w:szCs w:val="28"/>
        </w:rPr>
        <w:t xml:space="preserve"> PROJECT</w:t>
      </w:r>
      <w:r w:rsidR="001E2F1B">
        <w:rPr>
          <w:rFonts w:ascii="Arial" w:hAnsi="Arial" w:cs="Arial"/>
          <w:b/>
          <w:sz w:val="24"/>
          <w:szCs w:val="28"/>
        </w:rPr>
        <w:br/>
      </w:r>
    </w:p>
    <w:p w:rsidR="00AB43DD" w:rsidRPr="001E2F1B" w:rsidRDefault="00AB43DD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E2F1B">
        <w:rPr>
          <w:rFonts w:ascii="Arial" w:hAnsi="Arial" w:cs="Arial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43DD" w:rsidRPr="001E2F1B" w:rsidTr="007C6093">
        <w:trPr>
          <w:trHeight w:val="432"/>
        </w:trPr>
        <w:tc>
          <w:tcPr>
            <w:tcW w:w="2695" w:type="dxa"/>
            <w:vAlign w:val="center"/>
          </w:tcPr>
          <w:p w:rsidR="00AB43DD" w:rsidRPr="009C3B33" w:rsidRDefault="007C6093" w:rsidP="00423E4E">
            <w:pPr>
              <w:rPr>
                <w:rFonts w:ascii="Arial" w:hAnsi="Arial" w:cs="Arial"/>
                <w:b/>
                <w:szCs w:val="24"/>
              </w:rPr>
            </w:pPr>
            <w:r w:rsidRPr="009C3B33">
              <w:rPr>
                <w:rFonts w:ascii="Arial" w:hAnsi="Arial" w:cs="Arial"/>
                <w:b/>
                <w:szCs w:val="24"/>
              </w:rPr>
              <w:t>P2 Identifier</w:t>
            </w:r>
          </w:p>
        </w:tc>
        <w:tc>
          <w:tcPr>
            <w:tcW w:w="6655" w:type="dxa"/>
            <w:vAlign w:val="center"/>
          </w:tcPr>
          <w:p w:rsidR="00AB43DD" w:rsidRPr="009C3B33" w:rsidRDefault="005B31BE" w:rsidP="00423E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123452</w:t>
            </w:r>
          </w:p>
        </w:tc>
      </w:tr>
      <w:tr w:rsidR="00AB43DD" w:rsidRPr="001E2F1B" w:rsidTr="007C6093">
        <w:trPr>
          <w:trHeight w:val="432"/>
        </w:trPr>
        <w:tc>
          <w:tcPr>
            <w:tcW w:w="2695" w:type="dxa"/>
            <w:vAlign w:val="center"/>
          </w:tcPr>
          <w:p w:rsidR="00AB43DD" w:rsidRPr="009C3B33" w:rsidRDefault="00AB43DD" w:rsidP="00423E4E">
            <w:pPr>
              <w:rPr>
                <w:rFonts w:ascii="Arial" w:hAnsi="Arial" w:cs="Arial"/>
                <w:b/>
                <w:szCs w:val="24"/>
              </w:rPr>
            </w:pPr>
            <w:r w:rsidRPr="009C3B33">
              <w:rPr>
                <w:rFonts w:ascii="Arial" w:hAnsi="Arial" w:cs="Arial"/>
                <w:b/>
                <w:szCs w:val="24"/>
              </w:rPr>
              <w:t>Project Manager (PM)</w:t>
            </w:r>
          </w:p>
        </w:tc>
        <w:tc>
          <w:tcPr>
            <w:tcW w:w="6655" w:type="dxa"/>
            <w:vAlign w:val="center"/>
          </w:tcPr>
          <w:p w:rsidR="00AB43DD" w:rsidRPr="009C3B33" w:rsidRDefault="001A1126" w:rsidP="00423E4E">
            <w:pPr>
              <w:rPr>
                <w:rFonts w:ascii="Arial" w:hAnsi="Arial" w:cs="Arial"/>
                <w:szCs w:val="24"/>
              </w:rPr>
            </w:pPr>
            <w:r w:rsidRPr="009C3B33">
              <w:rPr>
                <w:rFonts w:ascii="Arial" w:hAnsi="Arial" w:cs="Arial"/>
                <w:szCs w:val="24"/>
              </w:rPr>
              <w:t>Mike Turaski</w:t>
            </w:r>
            <w:r w:rsidR="00867EFA" w:rsidRPr="009C3B33">
              <w:rPr>
                <w:rFonts w:ascii="Arial" w:hAnsi="Arial" w:cs="Arial"/>
                <w:szCs w:val="24"/>
              </w:rPr>
              <w:t xml:space="preserve">  (NWP, 503-808-47</w:t>
            </w:r>
            <w:r w:rsidRPr="009C3B33">
              <w:rPr>
                <w:rFonts w:ascii="Arial" w:hAnsi="Arial" w:cs="Arial"/>
                <w:szCs w:val="24"/>
              </w:rPr>
              <w:t>04</w:t>
            </w:r>
            <w:r w:rsidR="00446100" w:rsidRPr="009C3B33">
              <w:rPr>
                <w:rFonts w:ascii="Arial" w:hAnsi="Arial" w:cs="Arial"/>
                <w:szCs w:val="24"/>
              </w:rPr>
              <w:t>)</w:t>
            </w:r>
          </w:p>
        </w:tc>
      </w:tr>
      <w:tr w:rsidR="00AB43DD" w:rsidRPr="001E2F1B" w:rsidTr="007C6093">
        <w:trPr>
          <w:trHeight w:val="432"/>
        </w:trPr>
        <w:tc>
          <w:tcPr>
            <w:tcW w:w="2695" w:type="dxa"/>
            <w:vAlign w:val="center"/>
          </w:tcPr>
          <w:p w:rsidR="00AB43DD" w:rsidRPr="009C3B33" w:rsidRDefault="00AB43DD" w:rsidP="00423E4E">
            <w:pPr>
              <w:rPr>
                <w:rFonts w:ascii="Arial" w:hAnsi="Arial" w:cs="Arial"/>
                <w:b/>
                <w:szCs w:val="24"/>
              </w:rPr>
            </w:pPr>
            <w:r w:rsidRPr="009C3B33">
              <w:rPr>
                <w:rFonts w:ascii="Arial" w:hAnsi="Arial" w:cs="Arial"/>
                <w:b/>
                <w:szCs w:val="24"/>
              </w:rPr>
              <w:t>Technical Lead (TL)</w:t>
            </w:r>
          </w:p>
        </w:tc>
        <w:tc>
          <w:tcPr>
            <w:tcW w:w="6655" w:type="dxa"/>
            <w:vAlign w:val="center"/>
          </w:tcPr>
          <w:p w:rsidR="00AB43DD" w:rsidRPr="009C3B33" w:rsidRDefault="005B31BE" w:rsidP="0062635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Ida Royer</w:t>
            </w:r>
            <w:r w:rsidR="00867EFA" w:rsidRPr="009C3B33">
              <w:rPr>
                <w:rFonts w:ascii="Arial" w:hAnsi="Arial" w:cs="Arial"/>
                <w:szCs w:val="24"/>
              </w:rPr>
              <w:t xml:space="preserve"> (NWP</w:t>
            </w:r>
            <w:r w:rsidR="00643AD3" w:rsidRPr="009C3B33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503-808-xxxx</w:t>
            </w:r>
            <w:r w:rsidR="0014611E" w:rsidRPr="009C3B33">
              <w:rPr>
                <w:rFonts w:ascii="Arial" w:hAnsi="Arial" w:cs="Arial"/>
                <w:szCs w:val="24"/>
              </w:rPr>
              <w:t>)</w:t>
            </w:r>
          </w:p>
        </w:tc>
      </w:tr>
      <w:tr w:rsidR="00AB43DD" w:rsidRPr="001E2F1B" w:rsidTr="007C6093">
        <w:trPr>
          <w:trHeight w:val="432"/>
        </w:trPr>
        <w:tc>
          <w:tcPr>
            <w:tcW w:w="2695" w:type="dxa"/>
            <w:vAlign w:val="center"/>
          </w:tcPr>
          <w:p w:rsidR="00AB43DD" w:rsidRPr="009C3B33" w:rsidRDefault="00AB43DD" w:rsidP="00423E4E">
            <w:pPr>
              <w:rPr>
                <w:rFonts w:ascii="Arial" w:hAnsi="Arial" w:cs="Arial"/>
                <w:b/>
                <w:szCs w:val="24"/>
              </w:rPr>
            </w:pPr>
            <w:r w:rsidRPr="009C3B33">
              <w:rPr>
                <w:rFonts w:ascii="Arial" w:hAnsi="Arial" w:cs="Arial"/>
                <w:b/>
                <w:szCs w:val="24"/>
              </w:rPr>
              <w:t>Biologist</w:t>
            </w:r>
            <w:r w:rsidR="00446100" w:rsidRPr="009C3B33">
              <w:rPr>
                <w:rFonts w:ascii="Arial" w:hAnsi="Arial" w:cs="Arial"/>
                <w:b/>
                <w:szCs w:val="24"/>
              </w:rPr>
              <w:t>/Coordination</w:t>
            </w:r>
          </w:p>
        </w:tc>
        <w:tc>
          <w:tcPr>
            <w:tcW w:w="6655" w:type="dxa"/>
            <w:vAlign w:val="center"/>
          </w:tcPr>
          <w:p w:rsidR="00AB43DD" w:rsidRPr="009C3B33" w:rsidRDefault="00AB43DD" w:rsidP="0062635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C6093" w:rsidRPr="001E2F1B" w:rsidRDefault="007C6093" w:rsidP="00423E4E">
      <w:pPr>
        <w:spacing w:line="240" w:lineRule="auto"/>
        <w:rPr>
          <w:rFonts w:ascii="Arial" w:hAnsi="Arial" w:cs="Arial"/>
          <w:sz w:val="24"/>
          <w:szCs w:val="24"/>
        </w:rPr>
      </w:pPr>
    </w:p>
    <w:p w:rsidR="00446100" w:rsidRPr="001E2F1B" w:rsidRDefault="00643AD3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E2F1B">
        <w:rPr>
          <w:rFonts w:ascii="Arial" w:hAnsi="Arial" w:cs="Arial"/>
          <w:b/>
          <w:sz w:val="24"/>
          <w:szCs w:val="24"/>
        </w:rPr>
        <w:t>PURPOSE</w:t>
      </w:r>
    </w:p>
    <w:p w:rsidR="00643AD3" w:rsidRDefault="005775A1" w:rsidP="009E0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purpose of this project is to </w:t>
      </w:r>
      <w:r w:rsidR="005B31BE">
        <w:rPr>
          <w:sz w:val="22"/>
          <w:szCs w:val="22"/>
        </w:rPr>
        <w:t>conduct monitoring and evaluation in support of the Corps’ and BPA’s commitments per the FCRPS BiOp. A secondary purpose is to synthesize information and inform adaptive management of the Corps/BPA Columbia Estuary Ecosystem Restoration Program.</w:t>
      </w:r>
    </w:p>
    <w:p w:rsidR="009E09EC" w:rsidRPr="001E2F1B" w:rsidRDefault="009E09EC" w:rsidP="009E09EC">
      <w:pPr>
        <w:pStyle w:val="Default"/>
        <w:rPr>
          <w:color w:val="auto"/>
        </w:rPr>
      </w:pPr>
    </w:p>
    <w:p w:rsidR="00643AD3" w:rsidRPr="001E2F1B" w:rsidRDefault="00643AD3" w:rsidP="00423E4E">
      <w:pPr>
        <w:pStyle w:val="Default"/>
        <w:numPr>
          <w:ilvl w:val="0"/>
          <w:numId w:val="7"/>
        </w:numPr>
        <w:ind w:left="360"/>
        <w:rPr>
          <w:b/>
        </w:rPr>
      </w:pPr>
      <w:r w:rsidRPr="001E2F1B">
        <w:rPr>
          <w:b/>
        </w:rPr>
        <w:t>BACKGROUND</w:t>
      </w:r>
    </w:p>
    <w:p w:rsidR="00643AD3" w:rsidRDefault="00643AD3" w:rsidP="00423E4E">
      <w:pPr>
        <w:pStyle w:val="Default"/>
        <w:rPr>
          <w:b/>
        </w:rPr>
      </w:pPr>
    </w:p>
    <w:p w:rsidR="00C36B95" w:rsidRPr="0074046C" w:rsidRDefault="0074046C" w:rsidP="000C51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Monitoring and evaluation are integral parts of the overall Corps/BPA estuary habitat program. The 2008 FCRPS BiOp included multiple specific RM&amp;E tasks, to enable meaningful evaluation of estuary habitat restoration projects</w:t>
      </w:r>
      <w:r w:rsidR="00293E28">
        <w:rPr>
          <w:sz w:val="22"/>
          <w:szCs w:val="22"/>
        </w:rPr>
        <w:t>, improve design and implementation of future projects, and measure overall program implementation</w:t>
      </w:r>
      <w:r>
        <w:rPr>
          <w:sz w:val="22"/>
          <w:szCs w:val="22"/>
        </w:rPr>
        <w:t>. These included: defining the ecological importance of tidal-freshwater habitats for juvenile salmon, identifying and describing reference sites, developing a method for assessing cumulative effects of rest</w:t>
      </w:r>
      <w:r w:rsidR="00293E28">
        <w:rPr>
          <w:sz w:val="22"/>
          <w:szCs w:val="22"/>
        </w:rPr>
        <w:t>oration actions, and monitoring the effectiveness of completed restoration projects.</w:t>
      </w:r>
      <w:r w:rsidR="009731E1">
        <w:rPr>
          <w:sz w:val="22"/>
          <w:szCs w:val="22"/>
        </w:rPr>
        <w:t xml:space="preserve">  Corps funding is complemented by BPA funding for less-intensive monitoring and RM&amp;E activities in the Columbia River plume.</w:t>
      </w:r>
    </w:p>
    <w:p w:rsidR="005B31BE" w:rsidRDefault="005B31BE" w:rsidP="000C51CE">
      <w:pPr>
        <w:pStyle w:val="Default"/>
        <w:rPr>
          <w:rFonts w:ascii="Calibri" w:hAnsi="Calibri" w:cs="Calibri"/>
        </w:rPr>
      </w:pPr>
    </w:p>
    <w:p w:rsidR="003B0929" w:rsidRPr="001E2F1B" w:rsidRDefault="003B0929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E2F1B">
        <w:rPr>
          <w:rFonts w:ascii="Arial" w:hAnsi="Arial" w:cs="Arial"/>
          <w:b/>
          <w:sz w:val="24"/>
          <w:szCs w:val="24"/>
        </w:rPr>
        <w:t xml:space="preserve">STATUS </w:t>
      </w:r>
      <w:r w:rsidR="00F54234" w:rsidRPr="001E2F1B">
        <w:rPr>
          <w:rFonts w:ascii="Arial" w:hAnsi="Arial" w:cs="Arial"/>
          <w:b/>
          <w:sz w:val="24"/>
          <w:szCs w:val="24"/>
        </w:rPr>
        <w:t>&amp;</w:t>
      </w:r>
      <w:r w:rsidRPr="001E2F1B">
        <w:rPr>
          <w:rFonts w:ascii="Arial" w:hAnsi="Arial" w:cs="Arial"/>
          <w:b/>
          <w:sz w:val="24"/>
          <w:szCs w:val="24"/>
        </w:rPr>
        <w:t xml:space="preserve"> ISSUES</w:t>
      </w:r>
    </w:p>
    <w:p w:rsidR="00DE35CE" w:rsidRPr="00293E28" w:rsidRDefault="00293E28" w:rsidP="001E2F1B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Site-scale and landscape-scale impacts of restoration projects (i.e., direct and indirect effects) are being evaluated through the Action Effectiveness Monitoring and Research</w:t>
      </w:r>
      <w:r w:rsidR="009731E1">
        <w:rPr>
          <w:rFonts w:ascii="Arial" w:hAnsi="Arial" w:cs="Arial"/>
          <w:szCs w:val="24"/>
        </w:rPr>
        <w:t xml:space="preserve"> (AEMR)</w:t>
      </w:r>
      <w:r>
        <w:rPr>
          <w:rFonts w:ascii="Arial" w:hAnsi="Arial" w:cs="Arial"/>
          <w:szCs w:val="24"/>
        </w:rPr>
        <w:t xml:space="preserve"> </w:t>
      </w:r>
      <w:r w:rsidRPr="00293E28">
        <w:rPr>
          <w:rFonts w:ascii="Arial" w:hAnsi="Arial" w:cs="Arial"/>
          <w:szCs w:val="24"/>
        </w:rPr>
        <w:t>project. Field work is complete and the final report will be completed in May 2018.</w:t>
      </w:r>
    </w:p>
    <w:p w:rsidR="00293E28" w:rsidRPr="00293E28" w:rsidRDefault="00293E28" w:rsidP="001E2F1B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szCs w:val="24"/>
        </w:rPr>
      </w:pPr>
      <w:r w:rsidRPr="00293E28">
        <w:rPr>
          <w:rFonts w:ascii="Arial" w:hAnsi="Arial" w:cs="Arial"/>
          <w:szCs w:val="24"/>
        </w:rPr>
        <w:t>In March 2018, a Synthesis Memo will be completed. This memo will compile information about restoration projects completed between 2012 and 2018, summarize results of site scale action effectiveness monitoring, assess overall landscape/habitat connectivity, quantify the prey base for juvenile salmon across the estuary, evaluate the cumulative effect of restoration actions, and identify key uncertainties.</w:t>
      </w:r>
    </w:p>
    <w:p w:rsidR="003B0929" w:rsidRPr="001E2F1B" w:rsidRDefault="009C3B33" w:rsidP="00423E4E">
      <w:pPr>
        <w:pStyle w:val="Default"/>
        <w:numPr>
          <w:ilvl w:val="0"/>
          <w:numId w:val="7"/>
        </w:numPr>
        <w:ind w:left="360"/>
        <w:rPr>
          <w:b/>
          <w:color w:val="auto"/>
        </w:rPr>
      </w:pPr>
      <w:r>
        <w:rPr>
          <w:b/>
          <w:color w:val="auto"/>
        </w:rPr>
        <w:t>SCHEDULE &amp; COST</w:t>
      </w:r>
    </w:p>
    <w:p w:rsidR="003B0929" w:rsidRPr="001E2F1B" w:rsidRDefault="003B0929" w:rsidP="00423E4E">
      <w:pPr>
        <w:pStyle w:val="Default"/>
        <w:rPr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349"/>
        <w:gridCol w:w="6342"/>
      </w:tblGrid>
      <w:tr w:rsidR="00A37DA4" w:rsidRPr="001E2F1B" w:rsidTr="00832F67">
        <w:tc>
          <w:tcPr>
            <w:tcW w:w="1659" w:type="dxa"/>
          </w:tcPr>
          <w:p w:rsidR="00A37DA4" w:rsidRPr="001E2F1B" w:rsidRDefault="001E2F1B" w:rsidP="00423E4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YEAR</w:t>
            </w:r>
          </w:p>
        </w:tc>
        <w:tc>
          <w:tcPr>
            <w:tcW w:w="1349" w:type="dxa"/>
          </w:tcPr>
          <w:p w:rsidR="00A37DA4" w:rsidRPr="001E2F1B" w:rsidRDefault="001E2F1B" w:rsidP="00423E4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COST</w:t>
            </w:r>
          </w:p>
        </w:tc>
        <w:tc>
          <w:tcPr>
            <w:tcW w:w="6342" w:type="dxa"/>
          </w:tcPr>
          <w:p w:rsidR="00A37DA4" w:rsidRPr="001E2F1B" w:rsidRDefault="001E2F1B" w:rsidP="00423E4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MAJOR ACTIVITIES</w:t>
            </w:r>
          </w:p>
        </w:tc>
      </w:tr>
      <w:tr w:rsidR="00832F67" w:rsidRPr="001E2F1B" w:rsidTr="00832F67">
        <w:tc>
          <w:tcPr>
            <w:tcW w:w="1659" w:type="dxa"/>
            <w:vAlign w:val="center"/>
          </w:tcPr>
          <w:p w:rsidR="00832F67" w:rsidRPr="001E2F1B" w:rsidRDefault="00594513" w:rsidP="001E2F1B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FY17</w:t>
            </w:r>
            <w:r>
              <w:rPr>
                <w:b/>
                <w:color w:val="auto"/>
                <w:sz w:val="22"/>
              </w:rPr>
              <w:br/>
              <w:t>Actual Obligation</w:t>
            </w:r>
            <w:bookmarkStart w:id="0" w:name="_GoBack"/>
            <w:bookmarkEnd w:id="0"/>
          </w:p>
        </w:tc>
        <w:tc>
          <w:tcPr>
            <w:tcW w:w="1349" w:type="dxa"/>
          </w:tcPr>
          <w:p w:rsidR="00832F67" w:rsidRPr="001E2F1B" w:rsidRDefault="002C2960" w:rsidP="00293E28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$</w:t>
            </w:r>
            <w:r w:rsidR="00E26961">
              <w:rPr>
                <w:color w:val="auto"/>
                <w:sz w:val="22"/>
              </w:rPr>
              <w:t>2,247,107</w:t>
            </w:r>
          </w:p>
        </w:tc>
        <w:tc>
          <w:tcPr>
            <w:tcW w:w="6342" w:type="dxa"/>
          </w:tcPr>
          <w:p w:rsidR="00832F67" w:rsidRPr="001E2F1B" w:rsidRDefault="00293E28" w:rsidP="002C2960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Ongoing work for AEMR and 2018 Synthesis Memo.</w:t>
            </w:r>
            <w:r w:rsidR="002C2960">
              <w:rPr>
                <w:color w:val="auto"/>
                <w:sz w:val="22"/>
              </w:rPr>
              <w:t xml:space="preserve"> </w:t>
            </w:r>
          </w:p>
        </w:tc>
      </w:tr>
      <w:tr w:rsidR="00832F67" w:rsidRPr="001E2F1B" w:rsidTr="00832F67">
        <w:tc>
          <w:tcPr>
            <w:tcW w:w="1659" w:type="dxa"/>
            <w:vAlign w:val="center"/>
          </w:tcPr>
          <w:p w:rsidR="00832F67" w:rsidRPr="001E2F1B" w:rsidRDefault="00832F67" w:rsidP="001E2F1B">
            <w:pPr>
              <w:pStyle w:val="Default"/>
              <w:rPr>
                <w:b/>
                <w:color w:val="auto"/>
                <w:sz w:val="22"/>
              </w:rPr>
            </w:pPr>
            <w:r w:rsidRPr="001E2F1B">
              <w:rPr>
                <w:b/>
                <w:color w:val="auto"/>
                <w:sz w:val="22"/>
              </w:rPr>
              <w:t>FY18</w:t>
            </w:r>
          </w:p>
          <w:p w:rsidR="00832F67" w:rsidRPr="001E2F1B" w:rsidRDefault="00832F67" w:rsidP="001E2F1B">
            <w:pPr>
              <w:pStyle w:val="Default"/>
              <w:rPr>
                <w:b/>
                <w:color w:val="auto"/>
                <w:sz w:val="22"/>
              </w:rPr>
            </w:pPr>
            <w:r w:rsidRPr="001E2F1B">
              <w:rPr>
                <w:b/>
                <w:color w:val="auto"/>
                <w:sz w:val="22"/>
              </w:rPr>
              <w:t>PBUD</w:t>
            </w:r>
          </w:p>
        </w:tc>
        <w:tc>
          <w:tcPr>
            <w:tcW w:w="1349" w:type="dxa"/>
          </w:tcPr>
          <w:p w:rsidR="00832F67" w:rsidRPr="001E2F1B" w:rsidRDefault="00E26961" w:rsidP="00423E4E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$800,000</w:t>
            </w:r>
          </w:p>
        </w:tc>
        <w:tc>
          <w:tcPr>
            <w:tcW w:w="6342" w:type="dxa"/>
          </w:tcPr>
          <w:p w:rsidR="00832F67" w:rsidRPr="001E2F1B" w:rsidRDefault="009731E1" w:rsidP="002C2960"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Complete AEMR and 2018 Synthesis Memo.</w:t>
            </w:r>
          </w:p>
        </w:tc>
      </w:tr>
    </w:tbl>
    <w:p w:rsidR="00ED5903" w:rsidRDefault="00ED5903" w:rsidP="00423E4E">
      <w:pPr>
        <w:pStyle w:val="Default"/>
        <w:rPr>
          <w:b/>
          <w:color w:val="auto"/>
        </w:rPr>
      </w:pPr>
    </w:p>
    <w:p w:rsidR="009731E1" w:rsidRPr="001E2F1B" w:rsidRDefault="009731E1" w:rsidP="00423E4E">
      <w:pPr>
        <w:pStyle w:val="Default"/>
        <w:rPr>
          <w:b/>
          <w:color w:val="auto"/>
        </w:rPr>
      </w:pPr>
    </w:p>
    <w:p w:rsidR="00894FB1" w:rsidRDefault="00ED5903" w:rsidP="00DE35CE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noProof/>
        </w:rPr>
      </w:pPr>
      <w:r w:rsidRPr="009731E1">
        <w:rPr>
          <w:rFonts w:ascii="Arial" w:hAnsi="Arial" w:cs="Arial"/>
          <w:b/>
          <w:sz w:val="24"/>
          <w:szCs w:val="24"/>
        </w:rPr>
        <w:t xml:space="preserve"> </w:t>
      </w:r>
      <w:r w:rsidR="003D2255" w:rsidRPr="009731E1">
        <w:rPr>
          <w:rFonts w:ascii="Arial" w:hAnsi="Arial" w:cs="Arial"/>
          <w:b/>
          <w:sz w:val="24"/>
          <w:szCs w:val="24"/>
        </w:rPr>
        <w:t xml:space="preserve">PHOTOS </w:t>
      </w:r>
      <w:r w:rsidR="009C3B33" w:rsidRPr="009731E1">
        <w:rPr>
          <w:rFonts w:ascii="Arial" w:hAnsi="Arial" w:cs="Arial"/>
          <w:b/>
          <w:sz w:val="24"/>
          <w:szCs w:val="24"/>
        </w:rPr>
        <w:t>&amp;</w:t>
      </w:r>
      <w:r w:rsidR="003D2255" w:rsidRPr="009731E1">
        <w:rPr>
          <w:rFonts w:ascii="Arial" w:hAnsi="Arial" w:cs="Arial"/>
          <w:b/>
          <w:sz w:val="24"/>
          <w:szCs w:val="24"/>
        </w:rPr>
        <w:t xml:space="preserve"> DRAWINGS</w:t>
      </w:r>
    </w:p>
    <w:p w:rsidR="003D2255" w:rsidRDefault="009731E1" w:rsidP="00423E4E">
      <w:pPr>
        <w:tabs>
          <w:tab w:val="left" w:pos="36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E78831C" wp14:editId="5DAC759C">
            <wp:extent cx="5577840" cy="2510155"/>
            <wp:effectExtent l="0" t="0" r="3810" b="444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1E1" w:rsidRPr="009731E1" w:rsidRDefault="009731E1" w:rsidP="00423E4E">
      <w:pPr>
        <w:tabs>
          <w:tab w:val="left" w:pos="360"/>
        </w:tabs>
        <w:spacing w:line="240" w:lineRule="auto"/>
        <w:rPr>
          <w:rFonts w:ascii="Arial" w:hAnsi="Arial" w:cs="Arial"/>
        </w:rPr>
      </w:pPr>
      <w:r w:rsidRPr="009731E1">
        <w:rPr>
          <w:rFonts w:ascii="Arial" w:hAnsi="Arial" w:cs="Arial"/>
        </w:rPr>
        <w:t xml:space="preserve">Summary timeline of </w:t>
      </w:r>
      <w:proofErr w:type="spellStart"/>
      <w:r w:rsidRPr="009731E1">
        <w:rPr>
          <w:rFonts w:ascii="Arial" w:hAnsi="Arial" w:cs="Arial"/>
        </w:rPr>
        <w:t>BiOps</w:t>
      </w:r>
      <w:proofErr w:type="spellEnd"/>
      <w:r w:rsidRPr="009731E1">
        <w:rPr>
          <w:rFonts w:ascii="Arial" w:hAnsi="Arial" w:cs="Arial"/>
        </w:rPr>
        <w:t>, RM&amp;E activities, and development of the CEERP program, from Ebberts et al., in press.</w:t>
      </w:r>
    </w:p>
    <w:sectPr w:rsidR="009731E1" w:rsidRPr="009731E1" w:rsidSect="00A52E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8B" w:rsidRDefault="00D30F8B" w:rsidP="007C6093">
      <w:pPr>
        <w:spacing w:after="0" w:line="240" w:lineRule="auto"/>
      </w:pPr>
      <w:r>
        <w:separator/>
      </w:r>
    </w:p>
  </w:endnote>
  <w:endnote w:type="continuationSeparator" w:id="0">
    <w:p w:rsidR="00D30F8B" w:rsidRDefault="00D30F8B" w:rsidP="007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8B" w:rsidRDefault="00D30F8B" w:rsidP="007C6093">
      <w:pPr>
        <w:spacing w:after="0" w:line="240" w:lineRule="auto"/>
      </w:pPr>
      <w:r>
        <w:separator/>
      </w:r>
    </w:p>
  </w:footnote>
  <w:footnote w:type="continuationSeparator" w:id="0">
    <w:p w:rsidR="00D30F8B" w:rsidRDefault="00D30F8B" w:rsidP="007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93" w:rsidRDefault="001E2F1B">
    <w:pPr>
      <w:pStyle w:val="Header"/>
    </w:pPr>
    <w:r>
      <w:t>CRFM PROGRAM – MULTI-YEAR PROJECT WORK PLAN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2619"/>
    <w:multiLevelType w:val="hybridMultilevel"/>
    <w:tmpl w:val="794E2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A11D6"/>
    <w:multiLevelType w:val="hybridMultilevel"/>
    <w:tmpl w:val="26D2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A6E99"/>
    <w:multiLevelType w:val="hybridMultilevel"/>
    <w:tmpl w:val="EEB6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8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809E5"/>
    <w:multiLevelType w:val="hybridMultilevel"/>
    <w:tmpl w:val="BB482CBE"/>
    <w:lvl w:ilvl="0" w:tplc="FF20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72B57"/>
    <w:multiLevelType w:val="hybridMultilevel"/>
    <w:tmpl w:val="D85A6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00F5A"/>
    <w:rsid w:val="00005163"/>
    <w:rsid w:val="000147CF"/>
    <w:rsid w:val="00023192"/>
    <w:rsid w:val="000461A9"/>
    <w:rsid w:val="000708CA"/>
    <w:rsid w:val="000A3585"/>
    <w:rsid w:val="000C121B"/>
    <w:rsid w:val="000C51CE"/>
    <w:rsid w:val="000D67E7"/>
    <w:rsid w:val="000E269F"/>
    <w:rsid w:val="001043CB"/>
    <w:rsid w:val="00111815"/>
    <w:rsid w:val="00135748"/>
    <w:rsid w:val="0014611E"/>
    <w:rsid w:val="001A1126"/>
    <w:rsid w:val="001A657A"/>
    <w:rsid w:val="001C5090"/>
    <w:rsid w:val="001E2F1B"/>
    <w:rsid w:val="001F09D6"/>
    <w:rsid w:val="00207010"/>
    <w:rsid w:val="00262421"/>
    <w:rsid w:val="00264B28"/>
    <w:rsid w:val="00293E28"/>
    <w:rsid w:val="002C2960"/>
    <w:rsid w:val="002E1449"/>
    <w:rsid w:val="002F404A"/>
    <w:rsid w:val="0030041C"/>
    <w:rsid w:val="0030674D"/>
    <w:rsid w:val="00322958"/>
    <w:rsid w:val="00356D4B"/>
    <w:rsid w:val="0037073E"/>
    <w:rsid w:val="003A1C0A"/>
    <w:rsid w:val="003A2C8B"/>
    <w:rsid w:val="003B0929"/>
    <w:rsid w:val="003B49C5"/>
    <w:rsid w:val="003C286D"/>
    <w:rsid w:val="003D2255"/>
    <w:rsid w:val="00407629"/>
    <w:rsid w:val="00423E4E"/>
    <w:rsid w:val="00432435"/>
    <w:rsid w:val="00446100"/>
    <w:rsid w:val="0047768A"/>
    <w:rsid w:val="004813B5"/>
    <w:rsid w:val="004A00E0"/>
    <w:rsid w:val="004B09F7"/>
    <w:rsid w:val="004B7D45"/>
    <w:rsid w:val="004C3C42"/>
    <w:rsid w:val="004D7DAB"/>
    <w:rsid w:val="004F2147"/>
    <w:rsid w:val="004F71E9"/>
    <w:rsid w:val="005139D7"/>
    <w:rsid w:val="00540970"/>
    <w:rsid w:val="005666F3"/>
    <w:rsid w:val="005775A1"/>
    <w:rsid w:val="005942EE"/>
    <w:rsid w:val="00594513"/>
    <w:rsid w:val="005B31BE"/>
    <w:rsid w:val="005E65F0"/>
    <w:rsid w:val="005E6697"/>
    <w:rsid w:val="0062635E"/>
    <w:rsid w:val="00630690"/>
    <w:rsid w:val="00643AD3"/>
    <w:rsid w:val="00670B77"/>
    <w:rsid w:val="00675397"/>
    <w:rsid w:val="00697E56"/>
    <w:rsid w:val="006B446F"/>
    <w:rsid w:val="006C65BB"/>
    <w:rsid w:val="006E630B"/>
    <w:rsid w:val="007124F9"/>
    <w:rsid w:val="007132D8"/>
    <w:rsid w:val="00727958"/>
    <w:rsid w:val="0074046C"/>
    <w:rsid w:val="007C5A7F"/>
    <w:rsid w:val="007C6093"/>
    <w:rsid w:val="00815B9E"/>
    <w:rsid w:val="00832535"/>
    <w:rsid w:val="00832F67"/>
    <w:rsid w:val="00867EFA"/>
    <w:rsid w:val="00886495"/>
    <w:rsid w:val="00894FB1"/>
    <w:rsid w:val="00895394"/>
    <w:rsid w:val="008A0CC0"/>
    <w:rsid w:val="008A10CF"/>
    <w:rsid w:val="008D7ED5"/>
    <w:rsid w:val="008F5322"/>
    <w:rsid w:val="00925D19"/>
    <w:rsid w:val="00940C28"/>
    <w:rsid w:val="0094515B"/>
    <w:rsid w:val="0096440D"/>
    <w:rsid w:val="009731E1"/>
    <w:rsid w:val="009947DF"/>
    <w:rsid w:val="009B331B"/>
    <w:rsid w:val="009B7D10"/>
    <w:rsid w:val="009C3B33"/>
    <w:rsid w:val="009D0D8C"/>
    <w:rsid w:val="009E09EC"/>
    <w:rsid w:val="009E0C76"/>
    <w:rsid w:val="00A12188"/>
    <w:rsid w:val="00A23EC6"/>
    <w:rsid w:val="00A37DA4"/>
    <w:rsid w:val="00A52E17"/>
    <w:rsid w:val="00A56C8B"/>
    <w:rsid w:val="00A92AFE"/>
    <w:rsid w:val="00AB1EF4"/>
    <w:rsid w:val="00AB2F05"/>
    <w:rsid w:val="00AB43DD"/>
    <w:rsid w:val="00AF6AD4"/>
    <w:rsid w:val="00B17064"/>
    <w:rsid w:val="00B263D4"/>
    <w:rsid w:val="00B27A03"/>
    <w:rsid w:val="00B35620"/>
    <w:rsid w:val="00B75ADF"/>
    <w:rsid w:val="00B90CD2"/>
    <w:rsid w:val="00BA6163"/>
    <w:rsid w:val="00BC5A2A"/>
    <w:rsid w:val="00BE2E7E"/>
    <w:rsid w:val="00BE46C5"/>
    <w:rsid w:val="00C36B95"/>
    <w:rsid w:val="00C514E7"/>
    <w:rsid w:val="00C62F28"/>
    <w:rsid w:val="00CA13F4"/>
    <w:rsid w:val="00CE724F"/>
    <w:rsid w:val="00D13195"/>
    <w:rsid w:val="00D1748E"/>
    <w:rsid w:val="00D30F8B"/>
    <w:rsid w:val="00D845DA"/>
    <w:rsid w:val="00DD1F53"/>
    <w:rsid w:val="00DE35CE"/>
    <w:rsid w:val="00DF536A"/>
    <w:rsid w:val="00E151D4"/>
    <w:rsid w:val="00E21363"/>
    <w:rsid w:val="00E26961"/>
    <w:rsid w:val="00E34557"/>
    <w:rsid w:val="00E47459"/>
    <w:rsid w:val="00E529CE"/>
    <w:rsid w:val="00E74DE5"/>
    <w:rsid w:val="00EA667C"/>
    <w:rsid w:val="00ED5903"/>
    <w:rsid w:val="00EE38FC"/>
    <w:rsid w:val="00EF78C1"/>
    <w:rsid w:val="00F26BB1"/>
    <w:rsid w:val="00F30035"/>
    <w:rsid w:val="00F4159E"/>
    <w:rsid w:val="00F54234"/>
    <w:rsid w:val="00F71268"/>
    <w:rsid w:val="00F9344D"/>
    <w:rsid w:val="00FC4C6B"/>
    <w:rsid w:val="00FD3E9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93"/>
  </w:style>
  <w:style w:type="paragraph" w:styleId="Footer">
    <w:name w:val="footer"/>
    <w:basedOn w:val="Normal"/>
    <w:link w:val="Foot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93"/>
  </w:style>
  <w:style w:type="paragraph" w:styleId="BalloonText">
    <w:name w:val="Balloon Text"/>
    <w:basedOn w:val="Normal"/>
    <w:link w:val="BalloonTextChar"/>
    <w:uiPriority w:val="99"/>
    <w:semiHidden/>
    <w:unhideWhenUsed/>
    <w:rsid w:val="004B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USACE</dc:creator>
  <cp:lastModifiedBy>Ian Chane</cp:lastModifiedBy>
  <cp:revision>4</cp:revision>
  <cp:lastPrinted>2017-06-23T18:17:00Z</cp:lastPrinted>
  <dcterms:created xsi:type="dcterms:W3CDTF">2017-10-18T20:01:00Z</dcterms:created>
  <dcterms:modified xsi:type="dcterms:W3CDTF">2017-10-18T23:40:00Z</dcterms:modified>
</cp:coreProperties>
</file>